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451-НҚ от 17.11.2023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77777777" w:rsidR="00FC30DD" w:rsidRPr="00CA45D0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D0E8B54" w14:textId="77777777" w:rsidR="000F5B55" w:rsidRDefault="000F5B55" w:rsidP="000F5B55">
      <w:pPr>
        <w:spacing w:line="276" w:lineRule="auto"/>
        <w:ind w:firstLine="567"/>
        <w:jc w:val="both"/>
        <w:rPr>
          <w:b/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Стандарттаудың</w:t>
      </w:r>
    </w:p>
    <w:p w14:paraId="4203EE88" w14:textId="77777777" w:rsidR="000F5B55" w:rsidRPr="00C12BA7" w:rsidRDefault="000F5B55" w:rsidP="000F5B55">
      <w:pPr>
        <w:spacing w:line="276" w:lineRule="auto"/>
        <w:ind w:firstLine="567"/>
        <w:jc w:val="both"/>
        <w:rPr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 xml:space="preserve">кейбір мәселелері туралы </w:t>
      </w:r>
    </w:p>
    <w:p w14:paraId="2BE2A928" w14:textId="77777777" w:rsidR="000F5B55" w:rsidRDefault="000F5B55" w:rsidP="000F5B55">
      <w:pPr>
        <w:ind w:firstLine="567"/>
        <w:jc w:val="both"/>
        <w:rPr>
          <w:sz w:val="28"/>
          <w:szCs w:val="28"/>
          <w:lang w:val="kk-KZ"/>
        </w:rPr>
      </w:pPr>
    </w:p>
    <w:p w14:paraId="31801D87" w14:textId="77777777" w:rsidR="000F5B55" w:rsidRPr="00C12BA7" w:rsidRDefault="000F5B55" w:rsidP="000F5B55">
      <w:pPr>
        <w:tabs>
          <w:tab w:val="left" w:pos="1140"/>
        </w:tabs>
        <w:ind w:firstLine="567"/>
        <w:jc w:val="both"/>
        <w:rPr>
          <w:b/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Ғылыми-техникалық комиссияның </w:t>
      </w:r>
      <w:r w:rsidRPr="003F2C34">
        <w:rPr>
          <w:sz w:val="28"/>
          <w:szCs w:val="28"/>
          <w:lang w:val="kk"/>
        </w:rPr>
        <w:t>2023 жылғы 2 қарашадағы № 89</w:t>
      </w:r>
      <w:r>
        <w:rPr>
          <w:sz w:val="28"/>
          <w:szCs w:val="28"/>
          <w:lang w:val="kk"/>
        </w:rPr>
        <w:t xml:space="preserve">-ПР, 2023 жылғы 9 қарашдағы </w:t>
      </w:r>
      <w:r w:rsidRPr="003F2C34">
        <w:rPr>
          <w:sz w:val="28"/>
          <w:szCs w:val="28"/>
          <w:lang w:val="kk"/>
        </w:rPr>
        <w:t xml:space="preserve">№ </w:t>
      </w:r>
      <w:r>
        <w:rPr>
          <w:sz w:val="28"/>
          <w:szCs w:val="28"/>
          <w:lang w:val="kk"/>
        </w:rPr>
        <w:t xml:space="preserve">93-ПР </w:t>
      </w:r>
      <w:r>
        <w:rPr>
          <w:sz w:val="28"/>
          <w:szCs w:val="28"/>
          <w:lang w:val="kk-KZ"/>
        </w:rPr>
        <w:t xml:space="preserve">және </w:t>
      </w:r>
      <w:r w:rsidRPr="00AB6B42">
        <w:rPr>
          <w:sz w:val="28"/>
          <w:szCs w:val="28"/>
          <w:lang w:val="kk-KZ"/>
        </w:rPr>
        <w:t xml:space="preserve">2023 жылғы 14 қарашадағы </w:t>
      </w:r>
      <w:r w:rsidRPr="00AB6B42">
        <w:rPr>
          <w:sz w:val="28"/>
          <w:szCs w:val="28"/>
          <w:lang w:val="kk"/>
        </w:rPr>
        <w:t>№</w:t>
      </w:r>
      <w:r w:rsidRPr="00AB6B42">
        <w:rPr>
          <w:sz w:val="28"/>
          <w:szCs w:val="28"/>
          <w:lang w:val="kk-KZ"/>
        </w:rPr>
        <w:t xml:space="preserve"> 99-ПР</w:t>
      </w:r>
      <w:r>
        <w:rPr>
          <w:sz w:val="28"/>
          <w:szCs w:val="28"/>
          <w:lang w:val="kk"/>
        </w:rPr>
        <w:t xml:space="preserve"> хаттамаларының негізінде</w:t>
      </w:r>
      <w:r>
        <w:rPr>
          <w:b/>
          <w:sz w:val="28"/>
          <w:szCs w:val="28"/>
          <w:lang w:val="kk"/>
        </w:rPr>
        <w:t xml:space="preserve"> БҰЙЫРАМЫН:</w:t>
      </w:r>
    </w:p>
    <w:p w14:paraId="1AF98E26" w14:textId="77777777" w:rsidR="000F5B55" w:rsidRPr="001B2499" w:rsidRDefault="000F5B55" w:rsidP="000F5B55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1B2499">
        <w:rPr>
          <w:rFonts w:eastAsia="Batang"/>
          <w:bCs/>
          <w:sz w:val="28"/>
          <w:szCs w:val="28"/>
          <w:lang w:val="kk"/>
        </w:rPr>
        <w:t xml:space="preserve">2024 жылғы 1 қаңтардан бастап бекітіліп, қолданысқа енгізілсін: </w:t>
      </w:r>
    </w:p>
    <w:p w14:paraId="72CF13EE" w14:textId="77777777" w:rsidR="000F5B55" w:rsidRPr="0061079A" w:rsidRDefault="000F5B55" w:rsidP="000F5B55">
      <w:pPr>
        <w:pStyle w:val="a7"/>
        <w:numPr>
          <w:ilvl w:val="0"/>
          <w:numId w:val="5"/>
        </w:numPr>
        <w:ind w:left="0" w:firstLine="709"/>
        <w:jc w:val="both"/>
        <w:rPr>
          <w:rFonts w:eastAsia="Batang"/>
          <w:sz w:val="28"/>
          <w:szCs w:val="28"/>
          <w:lang w:val="kk-KZ"/>
        </w:rPr>
      </w:pPr>
      <w:r w:rsidRPr="00A33CE4">
        <w:rPr>
          <w:rFonts w:eastAsia="Batang"/>
          <w:sz w:val="28"/>
          <w:szCs w:val="28"/>
          <w:lang w:val="kk"/>
        </w:rPr>
        <w:t xml:space="preserve">ҚР СТ </w:t>
      </w:r>
      <w:r>
        <w:rPr>
          <w:rFonts w:eastAsia="Batang"/>
          <w:sz w:val="28"/>
          <w:szCs w:val="28"/>
          <w:lang w:val="kk"/>
        </w:rPr>
        <w:t>«</w:t>
      </w:r>
      <w:r w:rsidRPr="00A33CE4">
        <w:rPr>
          <w:rFonts w:eastAsia="Batang"/>
          <w:sz w:val="28"/>
          <w:szCs w:val="28"/>
          <w:lang w:val="kk"/>
        </w:rPr>
        <w:t>Медициналық зертханалар. Өлшеу белгісіздігін бағалауға жөніндегі практикалық нұсқау</w:t>
      </w:r>
      <w:r>
        <w:rPr>
          <w:rFonts w:eastAsia="Batang"/>
          <w:sz w:val="28"/>
          <w:szCs w:val="28"/>
          <w:lang w:val="kk"/>
        </w:rPr>
        <w:t>»</w:t>
      </w:r>
      <w:r w:rsidRPr="00A33CE4">
        <w:rPr>
          <w:rFonts w:eastAsia="Batang"/>
          <w:sz w:val="28"/>
          <w:szCs w:val="28"/>
          <w:lang w:val="kk"/>
        </w:rPr>
        <w:t>;</w:t>
      </w:r>
    </w:p>
    <w:p w14:paraId="0D3C8049" w14:textId="489B22DC" w:rsidR="000F5B55" w:rsidRPr="0061079A" w:rsidRDefault="000F5B55" w:rsidP="000F5B55">
      <w:pPr>
        <w:pStyle w:val="a7"/>
        <w:numPr>
          <w:ilvl w:val="0"/>
          <w:numId w:val="5"/>
        </w:numPr>
        <w:ind w:left="0" w:firstLine="709"/>
        <w:jc w:val="both"/>
        <w:rPr>
          <w:rFonts w:eastAsia="Batang"/>
          <w:sz w:val="28"/>
          <w:szCs w:val="28"/>
          <w:lang w:val="kk-KZ"/>
        </w:rPr>
      </w:pPr>
      <w:r w:rsidRPr="0061079A">
        <w:rPr>
          <w:rFonts w:eastAsia="Batang"/>
          <w:sz w:val="28"/>
          <w:szCs w:val="28"/>
          <w:lang w:val="kk"/>
        </w:rPr>
        <w:t>ҚР СТ «Қызмет ету мерзімі өткен аттракциондар мен балалар ойын алаңдарының техникалық жай-күйін олардың бұдан әрі пайдаланылу мүмкіндігін анықтау үшін тексеру тәртібі»</w:t>
      </w:r>
      <w:r>
        <w:rPr>
          <w:rFonts w:eastAsia="Batang"/>
          <w:sz w:val="28"/>
          <w:szCs w:val="28"/>
          <w:lang w:val="kk"/>
        </w:rPr>
        <w:t>;</w:t>
      </w:r>
    </w:p>
    <w:p w14:paraId="65121682" w14:textId="77777777" w:rsidR="000F5B55" w:rsidRDefault="000F5B55" w:rsidP="000F5B55">
      <w:pPr>
        <w:pStyle w:val="a7"/>
        <w:numPr>
          <w:ilvl w:val="0"/>
          <w:numId w:val="5"/>
        </w:numPr>
        <w:tabs>
          <w:tab w:val="left" w:pos="993"/>
        </w:tabs>
        <w:ind w:left="0" w:firstLine="709"/>
        <w:jc w:val="both"/>
        <w:rPr>
          <w:sz w:val="28"/>
          <w:szCs w:val="28"/>
          <w:lang w:val="kk-KZ"/>
        </w:rPr>
      </w:pPr>
      <w:r w:rsidRPr="007C15A1">
        <w:rPr>
          <w:sz w:val="28"/>
          <w:szCs w:val="28"/>
          <w:lang w:val="kk"/>
        </w:rPr>
        <w:t xml:space="preserve">ҚР СТ </w:t>
      </w:r>
      <w:r>
        <w:rPr>
          <w:sz w:val="28"/>
          <w:szCs w:val="28"/>
          <w:lang w:val="kk"/>
        </w:rPr>
        <w:t>«</w:t>
      </w:r>
      <w:r w:rsidRPr="007C15A1">
        <w:rPr>
          <w:sz w:val="28"/>
          <w:szCs w:val="28"/>
          <w:lang w:val="kk"/>
        </w:rPr>
        <w:t>Атыс объектілері. Жіктеу. Терминдер мен анықтамалар</w:t>
      </w:r>
      <w:r>
        <w:rPr>
          <w:sz w:val="28"/>
          <w:szCs w:val="28"/>
          <w:lang w:val="kk"/>
        </w:rPr>
        <w:t>».</w:t>
      </w:r>
    </w:p>
    <w:p w14:paraId="01F65697" w14:textId="77777777" w:rsidR="000F5B55" w:rsidRPr="001B2499" w:rsidRDefault="000F5B55" w:rsidP="000F5B55">
      <w:pPr>
        <w:pStyle w:val="a7"/>
        <w:numPr>
          <w:ilvl w:val="0"/>
          <w:numId w:val="1"/>
        </w:numPr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1B2499">
        <w:rPr>
          <w:rFonts w:eastAsia="Batang"/>
          <w:bCs/>
          <w:sz w:val="28"/>
          <w:szCs w:val="28"/>
          <w:lang w:val="kk"/>
        </w:rPr>
        <w:t xml:space="preserve">2024 жылғы 1 шілдеден бастап бекітіліп, қолданысқа енгізілсін: </w:t>
      </w:r>
    </w:p>
    <w:p w14:paraId="62649EC4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«Буып-түю. Керіп тартылатын қамыты бар конус бөшкелер. Техникалық шарттар»; </w:t>
      </w:r>
      <w:bookmarkStart w:id="0" w:name="_GoBack"/>
      <w:bookmarkEnd w:id="0"/>
    </w:p>
    <w:p w14:paraId="492BC316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"/>
        </w:rPr>
        <w:t xml:space="preserve"> </w:t>
      </w:r>
      <w:r w:rsidRPr="0061079A">
        <w:rPr>
          <w:rFonts w:eastAsia="Batang"/>
          <w:sz w:val="28"/>
          <w:szCs w:val="28"/>
          <w:lang w:val="kk"/>
        </w:rPr>
        <w:t xml:space="preserve">ҚР СТ «Лак-бояу материалдарын, жабындарды және полимер материалдарды сот-сараптамалық зерттеу. Терминдер мен анықтамалар»; </w:t>
      </w:r>
    </w:p>
    <w:p w14:paraId="2EE7F377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</w:rPr>
        <w:t xml:space="preserve"> </w:t>
      </w:r>
      <w:r w:rsidRPr="0061079A">
        <w:rPr>
          <w:sz w:val="28"/>
          <w:szCs w:val="28"/>
          <w:lang w:val="kk"/>
        </w:rPr>
        <w:t xml:space="preserve">ҚР СТ «Скейт-парк. Қауіпсіздік талаптары және сынау әдістері»; </w:t>
      </w:r>
    </w:p>
    <w:p w14:paraId="1373F938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«Ойын аймақтарына арналған жабдық. Волейбол жабдықтары. Функционалдық талаптар, қауіпсіздік талаптары және сынау әдістері»; </w:t>
      </w:r>
    </w:p>
    <w:p w14:paraId="632C9CC7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«Ойын аймақтарына арналған жабдық. Баскетбол жабдықтары. Функционалдық талаптар, қауіпсіздік талаптары және сынау әдістері»; </w:t>
      </w:r>
    </w:p>
    <w:p w14:paraId="41876A6A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«Стационарлық жаттығу жабдығы. 4-бөлім. Күштік жаттығуларға арналған отырғыштар. Қосымша ерекше қауіпсіздік талаптары және сынау әдістері»; </w:t>
      </w:r>
    </w:p>
    <w:p w14:paraId="030A4279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lastRenderedPageBreak/>
        <w:t xml:space="preserve"> </w:t>
      </w:r>
      <w:r w:rsidRPr="0061079A">
        <w:rPr>
          <w:sz w:val="28"/>
          <w:szCs w:val="28"/>
          <w:lang w:val="kk"/>
        </w:rPr>
        <w:t xml:space="preserve">ҚР СТ «Стационарлық жаттығу жабдығы. 8-бөлім. Қадамдық тренажерлер және көтеру имитаторлары. Қосымша ерекше қауіпсіздік талаптары және сынау әдістері»; </w:t>
      </w:r>
    </w:p>
    <w:p w14:paraId="3BA4C6E4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«Отын элементтерінің технологиялары. 3-100-бөлім. Отын элементтеріндегі стационарлық энергия қондырғылары. Қауіпсіздік»; </w:t>
      </w:r>
    </w:p>
    <w:p w14:paraId="3B6EF5BE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«Ақпараттық технологиялар. Оқыту, білім беру және даярлау. Білім берудегі электрондық оқулықтарға қойылатын талаптар»; </w:t>
      </w:r>
    </w:p>
    <w:p w14:paraId="2AD64D7F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«Ақпараттық технологиялар. Пайдаланушы интерфейсі компоненттерінің қолжетімділігі. 21-бөлім. Дыбыстық дескрипция жөніндегі нұсқау»; </w:t>
      </w:r>
    </w:p>
    <w:p w14:paraId="7A67C1F2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«Ақпараттық технологиялар. Пайдаланушы интерфейсі компоненттерінің қолжетімділігі. 23-бөлім. Дыбыстық ақпаратты (титрлер мен субтитрлерді қоса алғанда) визуалды түрде көрсету»; </w:t>
      </w:r>
    </w:p>
    <w:p w14:paraId="798865AF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«Жаңа дайындалған бетон қоспасын сынау. 8-бөлім. Өздігінен нығыздалатын бетон. Ағуына жасалатын сынақ»; </w:t>
      </w:r>
    </w:p>
    <w:p w14:paraId="00B1E5B0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«Бауман-Галли бойынша топырақтың қышқылдық дәрежесін анықтауға арналған сынау әдісі»; </w:t>
      </w:r>
    </w:p>
    <w:p w14:paraId="43C52ED6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61079A">
        <w:rPr>
          <w:sz w:val="28"/>
          <w:szCs w:val="28"/>
          <w:lang w:val="kk"/>
        </w:rPr>
        <w:t xml:space="preserve">ҚР СТ «Толтырғыштардың химиялық қасиеттерін сынау әдістері. </w:t>
      </w:r>
      <w:r w:rsidRPr="0061079A">
        <w:rPr>
          <w:sz w:val="28"/>
          <w:szCs w:val="28"/>
          <w:lang w:val="kk"/>
        </w:rPr>
        <w:br/>
        <w:t xml:space="preserve">5-бөлім. Қышқылда еритін хлорид тұздарын анықтау»; </w:t>
      </w:r>
    </w:p>
    <w:p w14:paraId="7EA28D6C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«Құрама ағаш баспалдақтар. Механикалық сынау әдістері»; </w:t>
      </w:r>
    </w:p>
    <w:p w14:paraId="3D18710E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«Зиянкестермен күрес бойынша көрсетілетін қызметтер. Талаптар және құзыреттіліктер»; </w:t>
      </w:r>
    </w:p>
    <w:p w14:paraId="6DB5F3A2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«Ғимараттардың энергия тиімділігі. Ғимарат менеджменті жүйесі. 1-бөлім. М10-12 модулі»; </w:t>
      </w:r>
    </w:p>
    <w:p w14:paraId="78508DFA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«Энергетикалық менеджмент жүйесі. Кезең-кезеңмен енгізу жөніндегі ұсынымдар»; </w:t>
      </w:r>
    </w:p>
    <w:p w14:paraId="4563A109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«Энергетикалық менеджмент жүйелері және энергия үнемдеу. ISO 50001 энергия менеджменті жүйесін қолдана отырып пайдалану кезінде нөлдік энергия тұтыну жөніндегі нұсқау»; </w:t>
      </w:r>
    </w:p>
    <w:p w14:paraId="1A25C1CB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 w:rsidRPr="0061079A">
        <w:rPr>
          <w:sz w:val="28"/>
          <w:szCs w:val="28"/>
          <w:lang w:val="kk"/>
        </w:rPr>
        <w:t xml:space="preserve">ҚР СТ «Ғимараттардың энергия тиімділігі. Көрсеткіштер, талаптар, рейтингтер және сертификаттар. 1-бөлім. Жалпы аспектілер және жалпы энергия тиімділігіне қолдану»; </w:t>
      </w:r>
    </w:p>
    <w:p w14:paraId="35885553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«Ғимараттардың энергия тиімділігі. Индикаторлар, талаптар, рейтингтер және сертификаттар. 2-бөлім. ISO 52003-1 түсіндіру және негіздеу»; </w:t>
      </w:r>
    </w:p>
    <w:p w14:paraId="4A3E1D0E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«Ғимараттардың энергетикалық сипаттамалары. Үй-жайлар ішіндегі қоршаған орта сапасы. 1-бөлім. Ғимараттардың энергетикалық сипаттамаларын жобалау және бағалау үшін үй-жай ішіндегі қоршаған ортаның кіріс параметрлері»; </w:t>
      </w:r>
    </w:p>
    <w:p w14:paraId="4BED7C00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«Ғимараттардың энергетикалық сипаттамалары. Энергетикалық сипаттамаларды бағалаудың жалпы рәсімдері. 2-бөлім. Ғимараттардың энергетикалық сипаттамаларын жобалау және бағалау үшін үй-жай ішіндегі қоршаған ортаның кіріс параметрлерін пайдалану жөніндегі нұсқау»; </w:t>
      </w:r>
    </w:p>
    <w:p w14:paraId="70BAE4A3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lastRenderedPageBreak/>
        <w:t xml:space="preserve"> </w:t>
      </w:r>
      <w:r w:rsidRPr="0061079A">
        <w:rPr>
          <w:sz w:val="28"/>
          <w:szCs w:val="28"/>
          <w:lang w:val="kk"/>
        </w:rPr>
        <w:t xml:space="preserve">ҚР СТ «Ғимараттардың энергия тиімділігі. Сыртқы климаттық жағдайлар. 1-бөлім. Энергияны есептеу үшін климаттық деректерді түрлендіру»; </w:t>
      </w:r>
    </w:p>
    <w:p w14:paraId="4CE23CD9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«Ғимараттардың энергия тиімділігі. Жылу балансына және ғимарат қаңқасының сипаттамаларына қатысты ғимараттардың энергия тиімділігінің жеке талаптарына арналған индикаторлар. 1-бөлім. Нұсқаларды шолу» </w:t>
      </w:r>
    </w:p>
    <w:p w14:paraId="1E451F96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«Қызметтік иттерге арналған құрғақ толыққанды азық. Жалпы техникалық шарттар»; </w:t>
      </w:r>
    </w:p>
    <w:p w14:paraId="5CD96D4C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 текті объектілерді сот-сараптамалық биологиялық зерттеу. Терминдер мен анықтамалар»; </w:t>
      </w:r>
    </w:p>
    <w:p w14:paraId="1C42D21B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61079A">
        <w:rPr>
          <w:sz w:val="28"/>
          <w:szCs w:val="28"/>
          <w:lang w:val="kk"/>
        </w:rPr>
        <w:t xml:space="preserve">ҚР СТ «Өсімдік текті объектілерді сот-сараптамалық биологиялық зерттеу. Терминдер мен анықтамалар»; </w:t>
      </w:r>
    </w:p>
    <w:p w14:paraId="4A8312F3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61079A">
        <w:rPr>
          <w:sz w:val="28"/>
          <w:szCs w:val="28"/>
          <w:lang w:val="kk"/>
        </w:rPr>
        <w:t xml:space="preserve">ҚР СТ «Сот-наркологиялық зерттеу. Терминдер мен анықтамалар»; </w:t>
      </w:r>
    </w:p>
    <w:p w14:paraId="217AD683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«Азық-түлік емес тауарларды сот-сараптамалық тауартанушылық зерттеу. Терминдер мен анықтамалар»; </w:t>
      </w:r>
    </w:p>
    <w:p w14:paraId="00841817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 w:rsidRPr="0061079A">
        <w:rPr>
          <w:sz w:val="28"/>
          <w:szCs w:val="28"/>
          <w:lang w:val="kk"/>
        </w:rPr>
        <w:t xml:space="preserve">ҚР СТ «Сот-сараптамалық психологиялық-криминалистикалық зерттеу. Терминдер мен анықтамалар»; </w:t>
      </w:r>
    </w:p>
    <w:p w14:paraId="669CDC2E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«Сот-гистологиялық зерттеу. Терминдер мен анықтамалар»; </w:t>
      </w:r>
    </w:p>
    <w:p w14:paraId="2AB7C8E6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61079A">
        <w:rPr>
          <w:sz w:val="28"/>
          <w:szCs w:val="28"/>
          <w:lang w:val="kk"/>
        </w:rPr>
        <w:t xml:space="preserve">ҚР СТ «Сот медициналық-криминалистикалық зерттеу. Терминдер мен анықтамалар»; </w:t>
      </w:r>
    </w:p>
    <w:p w14:paraId="67A2EBFB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«Құрылыстағы сатып алулар. Стратегия және тактика жөніндегі нұсқау»; </w:t>
      </w:r>
    </w:p>
    <w:p w14:paraId="7043E083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«Құрылыстағы сатып алулар. 2-бөлім. Сатып алу бойынша құжаттаманы ресімдеу және жасау»; </w:t>
      </w:r>
    </w:p>
    <w:p w14:paraId="7708E3BE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«Құрылыстағы сатып алулар. 3-бөлім. Конкурстың стандартты шарттары»; </w:t>
      </w:r>
    </w:p>
    <w:p w14:paraId="2B15EE6E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«Құрылыстағы сатып алулар. 4-бөлім. Келісім білдіруді сұраудың стандартты шарттары»; </w:t>
      </w:r>
    </w:p>
    <w:p w14:paraId="0368B5ED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«Құрылыстағы сатып алулар. 5-бөлім. Нысаналы кәсіпорындардың шарттарға қатысуы»; </w:t>
      </w:r>
    </w:p>
    <w:p w14:paraId="6317EEE8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«Құрылыстағы сатып алулар. 6-бөлім. Бірлескен кәсіпорындардың нысаналы серіктестерінің шарттарға қатысуы»; </w:t>
      </w:r>
    </w:p>
    <w:p w14:paraId="283521C2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«Құрылыстағы сатып алулар. 7-бөлім. Жергілікті кәсіпорындар мен жұмыс күшінің шарттарға қатысуы»; </w:t>
      </w:r>
    </w:p>
    <w:p w14:paraId="195CE366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«Құрылыстағы сатып алулар. 8-бөлім. Нысаналы жұмыс күшінің шарттарға қатысуы»; </w:t>
      </w:r>
    </w:p>
    <w:p w14:paraId="1B8C8451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«Үйлер. Сипаттамалардың сипаты. 7-бөлім. Халықтың жүріп-тұруы шектеулі топтары үшін қолжетімділік және практикалық»; </w:t>
      </w:r>
    </w:p>
    <w:p w14:paraId="78BCDD1B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«Азаматтық мақсаттағы ғимараттар мен құрылысжайлардың тұрақтылығы. Бөлшектеу және бейімделу қабілеті үшін қағидаттарды жобалау. Қағидаттар, талаптар және ұсынымдар»; </w:t>
      </w:r>
    </w:p>
    <w:p w14:paraId="007B522B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lastRenderedPageBreak/>
        <w:t xml:space="preserve"> </w:t>
      </w:r>
      <w:r w:rsidRPr="0061079A">
        <w:rPr>
          <w:sz w:val="28"/>
          <w:szCs w:val="28"/>
          <w:lang w:val="kk"/>
        </w:rPr>
        <w:t xml:space="preserve">ҚР СТ «Азаматтық мақсаттағы ғимараттар мен құрылысжайлардың тұрақтылығы. Көрсеткіштер мен өлшемшарттар. Қағидаттар, талаптар және басшылыққа алынатын нұсқаулар»; </w:t>
      </w:r>
    </w:p>
    <w:p w14:paraId="160BEAC1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«Азаматтық мақсаттағы ғимараттар мен құрылысжайлардың тұрақтылығы. Ғимараттарды ақпараттық модельдеуде (BIM) құрылыс өнімдеріне арналған өнімдердің экологиялық декларацияларын (EPD) пайдалануға арналған деректер үлгілері»; </w:t>
      </w:r>
    </w:p>
    <w:p w14:paraId="6239AB41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«Тұрақты туризм. Талаптар, сөздік және модель»; </w:t>
      </w:r>
    </w:p>
    <w:p w14:paraId="596BCA58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«Қазақстан Республикасының өлшем бірлігін қамтамасыз етудің мемлекеттік жүйесі. Аэрозоль бөлшектерін есептегіштер. Калибрлеу әдістемесі»; </w:t>
      </w:r>
    </w:p>
    <w:p w14:paraId="173E7F84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«Қазақстан Республикасының өлшем бірлігін қамтамасыз етудің мемлекеттік жүйесі. Термогигрометрлер. Салыстырып тексеру әдістемесі»; </w:t>
      </w:r>
    </w:p>
    <w:p w14:paraId="53AEB3DC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«Қазақстан Республикасының өлшем бірлігін қамтамасыз етудің мемлекеттік жүйесі. Сыну көрсеткішінің өлшемдері. Калибрлеу әдістемесі»; </w:t>
      </w:r>
    </w:p>
    <w:p w14:paraId="7036CEA5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«Қазақстан Республикасының өлшем бірлігін қамтамасыз етудің мемлекеттік жүйесі. Эталон дифференциаторлар. Калибрлеу әдістемесі»; </w:t>
      </w:r>
    </w:p>
    <w:p w14:paraId="01A273FA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«Қазақстан Республикасының өлшем бірлігін қамтамасыз етудің мемлекеттік жүйесі. Вискозиметрлерді салыстырып тексеру (калибрлеу) үшін градуирлеу сұйықтықтарын аттестаттау. Жалпы талаптар»; </w:t>
      </w:r>
    </w:p>
    <w:p w14:paraId="5047DDD0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 </w:t>
      </w:r>
      <w:r w:rsidRPr="0061079A">
        <w:rPr>
          <w:sz w:val="28"/>
          <w:szCs w:val="28"/>
          <w:lang w:val="kk-KZ"/>
        </w:rPr>
        <w:t>ҚР СТ «</w:t>
      </w:r>
      <w:proofErr w:type="spellStart"/>
      <w:r w:rsidRPr="0061079A">
        <w:rPr>
          <w:sz w:val="28"/>
          <w:szCs w:val="28"/>
        </w:rPr>
        <w:t>Жылу</w:t>
      </w:r>
      <w:proofErr w:type="spellEnd"/>
      <w:r w:rsidRPr="0061079A">
        <w:rPr>
          <w:sz w:val="28"/>
          <w:szCs w:val="28"/>
        </w:rPr>
        <w:t xml:space="preserve"> </w:t>
      </w:r>
      <w:proofErr w:type="spellStart"/>
      <w:r w:rsidRPr="0061079A">
        <w:rPr>
          <w:sz w:val="28"/>
          <w:szCs w:val="28"/>
        </w:rPr>
        <w:t>электр</w:t>
      </w:r>
      <w:proofErr w:type="spellEnd"/>
      <w:r w:rsidRPr="0061079A">
        <w:rPr>
          <w:sz w:val="28"/>
          <w:szCs w:val="28"/>
        </w:rPr>
        <w:t xml:space="preserve"> </w:t>
      </w:r>
      <w:proofErr w:type="spellStart"/>
      <w:r w:rsidRPr="0061079A">
        <w:rPr>
          <w:sz w:val="28"/>
          <w:szCs w:val="28"/>
        </w:rPr>
        <w:t>станцияларының</w:t>
      </w:r>
      <w:proofErr w:type="spellEnd"/>
      <w:r w:rsidRPr="0061079A">
        <w:rPr>
          <w:sz w:val="28"/>
          <w:szCs w:val="28"/>
        </w:rPr>
        <w:t xml:space="preserve"> </w:t>
      </w:r>
      <w:proofErr w:type="spellStart"/>
      <w:r w:rsidRPr="0061079A">
        <w:rPr>
          <w:sz w:val="28"/>
          <w:szCs w:val="28"/>
        </w:rPr>
        <w:t>өндірістік</w:t>
      </w:r>
      <w:proofErr w:type="spellEnd"/>
      <w:r w:rsidRPr="0061079A">
        <w:rPr>
          <w:sz w:val="28"/>
          <w:szCs w:val="28"/>
        </w:rPr>
        <w:t xml:space="preserve"> </w:t>
      </w:r>
      <w:proofErr w:type="spellStart"/>
      <w:r w:rsidRPr="0061079A">
        <w:rPr>
          <w:sz w:val="28"/>
          <w:szCs w:val="28"/>
        </w:rPr>
        <w:t>сулары</w:t>
      </w:r>
      <w:proofErr w:type="spellEnd"/>
      <w:r w:rsidRPr="0061079A">
        <w:rPr>
          <w:sz w:val="28"/>
          <w:szCs w:val="28"/>
        </w:rPr>
        <w:t xml:space="preserve">. </w:t>
      </w:r>
      <w:proofErr w:type="spellStart"/>
      <w:r w:rsidRPr="0061079A">
        <w:rPr>
          <w:sz w:val="28"/>
          <w:szCs w:val="28"/>
        </w:rPr>
        <w:t>Химиялық</w:t>
      </w:r>
      <w:proofErr w:type="spellEnd"/>
      <w:r w:rsidRPr="0061079A">
        <w:rPr>
          <w:sz w:val="28"/>
          <w:szCs w:val="28"/>
        </w:rPr>
        <w:t xml:space="preserve"> </w:t>
      </w:r>
      <w:proofErr w:type="spellStart"/>
      <w:r w:rsidRPr="0061079A">
        <w:rPr>
          <w:sz w:val="28"/>
          <w:szCs w:val="28"/>
        </w:rPr>
        <w:t>талдау</w:t>
      </w:r>
      <w:proofErr w:type="spellEnd"/>
      <w:r w:rsidRPr="0061079A">
        <w:rPr>
          <w:sz w:val="28"/>
          <w:szCs w:val="28"/>
        </w:rPr>
        <w:t xml:space="preserve"> </w:t>
      </w:r>
      <w:proofErr w:type="spellStart"/>
      <w:r w:rsidRPr="0061079A">
        <w:rPr>
          <w:sz w:val="28"/>
          <w:szCs w:val="28"/>
        </w:rPr>
        <w:t>үшін</w:t>
      </w:r>
      <w:proofErr w:type="spellEnd"/>
      <w:r w:rsidRPr="0061079A">
        <w:rPr>
          <w:sz w:val="28"/>
          <w:szCs w:val="28"/>
        </w:rPr>
        <w:t xml:space="preserve"> </w:t>
      </w:r>
      <w:proofErr w:type="spellStart"/>
      <w:r w:rsidRPr="0061079A">
        <w:rPr>
          <w:sz w:val="28"/>
          <w:szCs w:val="28"/>
        </w:rPr>
        <w:t>тазартылған</w:t>
      </w:r>
      <w:proofErr w:type="spellEnd"/>
      <w:r w:rsidRPr="0061079A">
        <w:rPr>
          <w:sz w:val="28"/>
          <w:szCs w:val="28"/>
        </w:rPr>
        <w:t xml:space="preserve"> суды </w:t>
      </w:r>
      <w:proofErr w:type="spellStart"/>
      <w:r w:rsidRPr="0061079A">
        <w:rPr>
          <w:sz w:val="28"/>
          <w:szCs w:val="28"/>
        </w:rPr>
        <w:t>дайындау</w:t>
      </w:r>
      <w:proofErr w:type="spellEnd"/>
      <w:r w:rsidRPr="0061079A">
        <w:rPr>
          <w:sz w:val="28"/>
          <w:szCs w:val="28"/>
          <w:lang w:val="kk-KZ"/>
        </w:rPr>
        <w:t>»;</w:t>
      </w:r>
    </w:p>
    <w:p w14:paraId="701563E8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Лептоспирозды зертханалық диагностикалау. Негізгі ережелер»; </w:t>
      </w:r>
    </w:p>
    <w:p w14:paraId="7FA69D6F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Аусылды зертханалық диагностикалау. Негізгі ережелер»; </w:t>
      </w:r>
    </w:p>
    <w:p w14:paraId="35F2A9BB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Хламидия инфекциясын зертханалық диагностикалау. Негізгі ережелер»; </w:t>
      </w:r>
    </w:p>
    <w:p w14:paraId="39662EE5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Шошқаның трансмиссивті гастроэнтеритін зертханалық диагностикалау. Негізгі ережелер»; </w:t>
      </w:r>
    </w:p>
    <w:p w14:paraId="2021D75E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Шошқаның атрофиялық ринитін зертханалық диагностикалау.  Негізгі ережелер»; </w:t>
      </w:r>
    </w:p>
    <w:p w14:paraId="4D4FF243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Ірі қара малдың обасын зертханалық диагностикалау.  Негізгі ережелер»; </w:t>
      </w:r>
    </w:p>
    <w:p w14:paraId="0F0DC843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«Құс. Инфекциялық ларинготрахеитті зертханалық диагностикалау. Негізгі ережелер»; </w:t>
      </w:r>
    </w:p>
    <w:p w14:paraId="1EC8769A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Ұсақ қара малдың өкпе аденоматозын зертханалық диагностикалау. Негізгі ережелер»; </w:t>
      </w:r>
    </w:p>
    <w:p w14:paraId="0B7AB7A2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Жылқының контагиозды метритін зертханалық диагностикалау. Негізгі ережелер»; </w:t>
      </w:r>
    </w:p>
    <w:p w14:paraId="7DE3727A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Эпизоотиялық лимфангоитті зертханалық диагностикалау. Негізгі ережелер»; </w:t>
      </w:r>
    </w:p>
    <w:p w14:paraId="19ABAE1B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Кездейсоқ ауруды зертханалық диагностикалау. Негізгі ережелер»; </w:t>
      </w:r>
    </w:p>
    <w:p w14:paraId="6A42F7FB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lastRenderedPageBreak/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Қой мен ешкі шешегін зертханалық диагностикалау. Негізгі ережелер»; </w:t>
      </w:r>
    </w:p>
    <w:p w14:paraId="26303E8A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>ҚР СТ «</w:t>
      </w:r>
      <w:r>
        <w:rPr>
          <w:sz w:val="28"/>
          <w:szCs w:val="28"/>
          <w:lang w:val="kk"/>
        </w:rPr>
        <w:t xml:space="preserve">Жануарлар. </w:t>
      </w:r>
      <w:r w:rsidRPr="0061079A">
        <w:rPr>
          <w:sz w:val="28"/>
          <w:szCs w:val="28"/>
          <w:lang w:val="kk"/>
        </w:rPr>
        <w:t xml:space="preserve">Жылқының жұқпалы анемиясын зертханалық диагностикалау.  Негізгі ережелер»; </w:t>
      </w:r>
    </w:p>
    <w:p w14:paraId="23DBEC42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 w:rsidRPr="0061079A">
        <w:rPr>
          <w:sz w:val="28"/>
          <w:szCs w:val="28"/>
          <w:lang w:val="kk"/>
        </w:rPr>
        <w:t xml:space="preserve">ҚР СТ «Жануарлар. Жылқы тұмауын зертханалық диагностикалау. Негізгі ережелер»; </w:t>
      </w:r>
    </w:p>
    <w:p w14:paraId="47035553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Шошқаның классикалық обасын зертханалық диагностикалау.  Негізгі ережелер»; </w:t>
      </w:r>
    </w:p>
    <w:p w14:paraId="65ED3794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Түйе шешегін зертханалық диагностикалау.  Негізгі ережелер»; </w:t>
      </w:r>
    </w:p>
    <w:p w14:paraId="587A0E38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Ауески ауруын зертханалық диагностикалау. Негізгі ережелер»; </w:t>
      </w:r>
    </w:p>
    <w:p w14:paraId="5D8051EF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Скрепиді зертханалық диагностикалау. Негізгі ережелер»; </w:t>
      </w:r>
    </w:p>
    <w:p w14:paraId="1ED424A1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Қошқардың инфекциялық эпидидимитін зертханалық диагностикалау. Негізгі ережелер»; </w:t>
      </w:r>
    </w:p>
    <w:p w14:paraId="4B8DF00E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«Құс. Жоғары патогенді тұмауды зертханалық диагностикалау. Негізгі ережелер»; </w:t>
      </w:r>
    </w:p>
    <w:p w14:paraId="1F3F3270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«Құс. Ньюкасл ауруын зертханалық диагностикалау. Негізгі ережелер»; </w:t>
      </w:r>
    </w:p>
    <w:p w14:paraId="567EB4FF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Ірі қара малының туберкулезін зертханалық диагностикалау. Негізгі ережелер»; </w:t>
      </w:r>
    </w:p>
    <w:p w14:paraId="55F29152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«Құс. Орнитозды зертханалық диагностикалау. Негізгі ережелер»; </w:t>
      </w:r>
    </w:p>
    <w:p w14:paraId="55BDEC33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Ку-безгегін зертханалық диагностикалау. Негізгі ережелер»; </w:t>
      </w:r>
    </w:p>
    <w:p w14:paraId="721B5291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Шошқаның А тұмауы вирусын зертханалық диагностикалау. Негізгі ережелер»; </w:t>
      </w:r>
    </w:p>
    <w:p w14:paraId="1D3B700D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«Құс. Гамборо ауруын зертханалық диагностикалау. Негізгі ережелер»; </w:t>
      </w:r>
    </w:p>
    <w:p w14:paraId="0C466171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Респираторлық микоплазмозды зертханалық диагностикалау. Негізгі ережелер»; </w:t>
      </w:r>
    </w:p>
    <w:p w14:paraId="0314E0CE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Миксоматозды зертханалық диагностикалау.  Негізгі ережелер»; </w:t>
      </w:r>
    </w:p>
    <w:p w14:paraId="5300ED84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Қоянның вирустық геморрагиялық ауруын зертханалық диагностикалау.  Негізгі ережелер»; </w:t>
      </w:r>
    </w:p>
    <w:p w14:paraId="65A4C103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Токсоплазмозды зертханалық диагностикалау.  Негізгі ережелер»; </w:t>
      </w:r>
    </w:p>
    <w:p w14:paraId="7C8D7BAF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Жапон энцефалитін зертханалық диагностикалау. Негізгі ережелер»; </w:t>
      </w:r>
    </w:p>
    <w:p w14:paraId="5ACEE27B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«Құс. Шешекті зертханалық диагностикалау. Негізгі ережелер»; </w:t>
      </w:r>
    </w:p>
    <w:p w14:paraId="4DD376E7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Тешен ауруын зертханалық диагностикалау.  Негізгі ережелер»; </w:t>
      </w:r>
    </w:p>
    <w:p w14:paraId="44855D2D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lastRenderedPageBreak/>
        <w:t xml:space="preserve"> </w:t>
      </w:r>
      <w:r w:rsidRPr="0061079A">
        <w:rPr>
          <w:sz w:val="28"/>
          <w:szCs w:val="28"/>
          <w:lang w:val="kk"/>
        </w:rPr>
        <w:t xml:space="preserve">ҚР СТ «Жәндіктер. Араның Варроатоз ауруын зертханалық диагностикалау. Негізгі ережелер»; </w:t>
      </w:r>
    </w:p>
    <w:p w14:paraId="4B545858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«Құс. Тауықтың инфекциялық бронхитін зертханалық диагностикалау. Негізгі ережелер»; </w:t>
      </w:r>
    </w:p>
    <w:p w14:paraId="7DCE0F5E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«Құс. Құс туберкулезін зертханалық диагностикалау.  Негізгі ережелер»; </w:t>
      </w:r>
    </w:p>
    <w:p w14:paraId="65307C76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Трихомонозды зертханалық диагностикалау.  Негізгі ережелер»; </w:t>
      </w:r>
    </w:p>
    <w:p w14:paraId="1023A9B0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Туляремияны зертханалық диагностикалау.  Негізгі ережелер»; </w:t>
      </w:r>
    </w:p>
    <w:p w14:paraId="43319137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Жылқының инфекциялық энцефаломиелитін зертханалық диагностикалау.  Негізгі ережелер»; </w:t>
      </w:r>
    </w:p>
    <w:p w14:paraId="5F9CC15F" w14:textId="77777777" w:rsidR="000F5B55" w:rsidRPr="0061079A" w:rsidRDefault="000F5B55" w:rsidP="000F5B55">
      <w:pPr>
        <w:pStyle w:val="a7"/>
        <w:numPr>
          <w:ilvl w:val="0"/>
          <w:numId w:val="10"/>
        </w:numPr>
        <w:tabs>
          <w:tab w:val="left" w:pos="720"/>
        </w:tabs>
        <w:ind w:left="0" w:firstLine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"/>
        </w:rPr>
        <w:t xml:space="preserve"> </w:t>
      </w:r>
      <w:r w:rsidRPr="0061079A">
        <w:rPr>
          <w:sz w:val="28"/>
          <w:szCs w:val="28"/>
          <w:lang w:val="kk"/>
        </w:rPr>
        <w:t xml:space="preserve">ҚР СТ «Жануарлар. Шошқаның везикулярлық ауруын зертханалық диагностикалау. Негізгі ережелер». </w:t>
      </w:r>
    </w:p>
    <w:p w14:paraId="1BB343EA" w14:textId="77777777" w:rsidR="000F5B55" w:rsidRPr="001B2499" w:rsidRDefault="000F5B55" w:rsidP="000F5B55">
      <w:pPr>
        <w:pStyle w:val="a7"/>
        <w:numPr>
          <w:ilvl w:val="0"/>
          <w:numId w:val="1"/>
        </w:numPr>
        <w:tabs>
          <w:tab w:val="left" w:pos="1140"/>
        </w:tabs>
        <w:jc w:val="both"/>
        <w:rPr>
          <w:bCs/>
          <w:sz w:val="28"/>
          <w:szCs w:val="28"/>
          <w:lang w:val="kk-KZ"/>
        </w:rPr>
      </w:pPr>
      <w:r w:rsidRPr="001B2499">
        <w:rPr>
          <w:bCs/>
          <w:sz w:val="28"/>
          <w:szCs w:val="28"/>
          <w:lang w:val="kk"/>
        </w:rPr>
        <w:t xml:space="preserve">2024 жылғы 1 қарашадан бастап бекітіліп, қолданысқа енгізілсін: </w:t>
      </w:r>
    </w:p>
    <w:p w14:paraId="474118C9" w14:textId="77777777" w:rsidR="000F5B55" w:rsidRPr="007C15A1" w:rsidRDefault="000F5B55" w:rsidP="000F5B55">
      <w:pPr>
        <w:pStyle w:val="a7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sz w:val="28"/>
          <w:szCs w:val="28"/>
          <w:lang w:val="kk-KZ"/>
        </w:rPr>
      </w:pPr>
      <w:r w:rsidRPr="007C15A1">
        <w:rPr>
          <w:sz w:val="28"/>
          <w:szCs w:val="28"/>
          <w:lang w:val="kk"/>
        </w:rPr>
        <w:t xml:space="preserve">ҚР СТ </w:t>
      </w:r>
      <w:r>
        <w:rPr>
          <w:sz w:val="28"/>
          <w:szCs w:val="28"/>
          <w:lang w:val="kk"/>
        </w:rPr>
        <w:t>«</w:t>
      </w:r>
      <w:r w:rsidRPr="007C15A1">
        <w:rPr>
          <w:sz w:val="28"/>
          <w:szCs w:val="28"/>
          <w:lang w:val="kk"/>
        </w:rPr>
        <w:t>Блокчейн және таратылған тізілім технологиялары. Дербес деректерді қорғау және құпиялылық</w:t>
      </w:r>
      <w:r>
        <w:rPr>
          <w:sz w:val="28"/>
          <w:szCs w:val="28"/>
          <w:lang w:val="kk"/>
        </w:rPr>
        <w:t>»</w:t>
      </w:r>
      <w:r w:rsidRPr="007C15A1">
        <w:rPr>
          <w:sz w:val="28"/>
          <w:szCs w:val="28"/>
          <w:lang w:val="kk"/>
        </w:rPr>
        <w:t xml:space="preserve">; </w:t>
      </w:r>
    </w:p>
    <w:p w14:paraId="2760BA60" w14:textId="77777777" w:rsidR="000F5B55" w:rsidRPr="007C15A1" w:rsidRDefault="000F5B55" w:rsidP="000F5B55">
      <w:pPr>
        <w:pStyle w:val="a7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sz w:val="28"/>
          <w:szCs w:val="28"/>
          <w:lang w:val="kk-KZ"/>
        </w:rPr>
      </w:pPr>
      <w:r w:rsidRPr="007C15A1">
        <w:rPr>
          <w:sz w:val="28"/>
          <w:szCs w:val="28"/>
          <w:lang w:val="kk"/>
        </w:rPr>
        <w:t xml:space="preserve">ҚР СТ </w:t>
      </w:r>
      <w:r>
        <w:rPr>
          <w:sz w:val="28"/>
          <w:szCs w:val="28"/>
          <w:lang w:val="kk"/>
        </w:rPr>
        <w:t>«</w:t>
      </w:r>
      <w:r w:rsidRPr="007C15A1">
        <w:rPr>
          <w:sz w:val="28"/>
          <w:szCs w:val="28"/>
          <w:lang w:val="kk"/>
        </w:rPr>
        <w:t>Блокчейн және таратылған тізілім технологиялары. Эталон архитектура</w:t>
      </w:r>
      <w:r>
        <w:rPr>
          <w:sz w:val="28"/>
          <w:szCs w:val="28"/>
          <w:lang w:val="kk"/>
        </w:rPr>
        <w:t>»</w:t>
      </w:r>
      <w:r w:rsidRPr="007C15A1">
        <w:rPr>
          <w:sz w:val="28"/>
          <w:szCs w:val="28"/>
          <w:lang w:val="kk"/>
        </w:rPr>
        <w:t xml:space="preserve">; </w:t>
      </w:r>
    </w:p>
    <w:p w14:paraId="44DAC92B" w14:textId="77777777" w:rsidR="000F5B55" w:rsidRPr="007C15A1" w:rsidRDefault="000F5B55" w:rsidP="000F5B55">
      <w:pPr>
        <w:pStyle w:val="a7"/>
        <w:numPr>
          <w:ilvl w:val="0"/>
          <w:numId w:val="6"/>
        </w:numPr>
        <w:tabs>
          <w:tab w:val="left" w:pos="993"/>
        </w:tabs>
        <w:ind w:left="0" w:firstLine="709"/>
        <w:jc w:val="both"/>
        <w:rPr>
          <w:sz w:val="28"/>
          <w:szCs w:val="28"/>
          <w:lang w:val="kk-KZ"/>
        </w:rPr>
      </w:pPr>
      <w:r w:rsidRPr="007C15A1">
        <w:rPr>
          <w:sz w:val="28"/>
          <w:szCs w:val="28"/>
          <w:lang w:val="kk"/>
        </w:rPr>
        <w:t xml:space="preserve">ҚР СТ </w:t>
      </w:r>
      <w:r>
        <w:rPr>
          <w:sz w:val="28"/>
          <w:szCs w:val="28"/>
          <w:lang w:val="kk"/>
        </w:rPr>
        <w:t>«</w:t>
      </w:r>
      <w:r w:rsidRPr="007C15A1">
        <w:rPr>
          <w:sz w:val="28"/>
          <w:szCs w:val="28"/>
          <w:lang w:val="kk"/>
        </w:rPr>
        <w:t>Блокчейн және таратылған тізілім технологиялары. Басшылыққа алынатын басқару қағидаттары</w:t>
      </w:r>
      <w:r>
        <w:rPr>
          <w:sz w:val="28"/>
          <w:szCs w:val="28"/>
          <w:lang w:val="kk"/>
        </w:rPr>
        <w:t>»</w:t>
      </w:r>
      <w:r w:rsidRPr="007C15A1">
        <w:rPr>
          <w:sz w:val="28"/>
          <w:szCs w:val="28"/>
          <w:lang w:val="kk"/>
        </w:rPr>
        <w:t xml:space="preserve">. </w:t>
      </w:r>
    </w:p>
    <w:p w14:paraId="18645DBA" w14:textId="77777777" w:rsidR="000F5B55" w:rsidRPr="00521462" w:rsidRDefault="000F5B55" w:rsidP="000F5B55">
      <w:pPr>
        <w:pStyle w:val="a7"/>
        <w:numPr>
          <w:ilvl w:val="0"/>
          <w:numId w:val="1"/>
        </w:numPr>
        <w:ind w:left="0" w:firstLine="709"/>
        <w:jc w:val="both"/>
        <w:rPr>
          <w:rFonts w:eastAsiaTheme="minorHAnsi"/>
          <w:sz w:val="28"/>
          <w:szCs w:val="28"/>
          <w:lang w:val="kk-KZ" w:eastAsia="en-US"/>
        </w:rPr>
      </w:pPr>
      <w:r w:rsidRPr="009860B7">
        <w:rPr>
          <w:rFonts w:eastAsiaTheme="minorHAnsi"/>
          <w:sz w:val="28"/>
          <w:szCs w:val="28"/>
          <w:lang w:val="kk" w:eastAsia="en-US"/>
        </w:rPr>
        <w:t>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5D6C59A6" w14:textId="77777777" w:rsidR="000F5B55" w:rsidRPr="009860B7" w:rsidRDefault="000F5B55" w:rsidP="000F5B55">
      <w:pPr>
        <w:pStyle w:val="a7"/>
        <w:numPr>
          <w:ilvl w:val="0"/>
          <w:numId w:val="1"/>
        </w:numPr>
        <w:ind w:left="0" w:firstLine="709"/>
        <w:jc w:val="both"/>
        <w:rPr>
          <w:rFonts w:eastAsia="Batang"/>
          <w:sz w:val="28"/>
          <w:szCs w:val="28"/>
          <w:lang w:val="kk-KZ"/>
        </w:rPr>
      </w:pPr>
      <w:r w:rsidRPr="009860B7">
        <w:rPr>
          <w:rFonts w:eastAsia="Batang"/>
          <w:sz w:val="28"/>
          <w:szCs w:val="28"/>
          <w:lang w:val="kk"/>
        </w:rPr>
        <w:t>Осы бұйрық қол қойылған күннен бастап күшіне енеді.</w:t>
      </w: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33"/>
        <w:gridCol w:w="4622"/>
      </w:tblGrid>
      <w:tr w:rsidR="000F5B55" w14:paraId="750FCAB9" w14:textId="77777777" w:rsidTr="008C25AD">
        <w:tc>
          <w:tcPr>
            <w:tcW w:w="4733" w:type="dxa"/>
            <w:hideMark/>
          </w:tcPr>
          <w:p w14:paraId="20B80E2C" w14:textId="77777777" w:rsidR="000F5B55" w:rsidRPr="00521462" w:rsidRDefault="000F5B55" w:rsidP="008C25AD">
            <w:pPr>
              <w:ind w:left="567"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500471CB" w14:textId="77777777" w:rsidR="000F5B55" w:rsidRPr="00521462" w:rsidRDefault="000F5B55" w:rsidP="008C25AD">
            <w:pPr>
              <w:ind w:left="567"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558E6158" w14:textId="77777777" w:rsidR="000F5B55" w:rsidRPr="00521462" w:rsidRDefault="000F5B55" w:rsidP="008C25AD">
            <w:pPr>
              <w:ind w:left="567" w:right="-110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52395CB0" w14:textId="77777777" w:rsidR="000F5B55" w:rsidRDefault="000F5B55" w:rsidP="008C25AD">
            <w:pPr>
              <w:ind w:left="567" w:right="-110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"/>
              </w:rPr>
              <w:t>Техникалық</w:t>
            </w:r>
          </w:p>
          <w:p w14:paraId="7DA59F1B" w14:textId="77777777" w:rsidR="000F5B55" w:rsidRDefault="000F5B55" w:rsidP="008C25AD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"/>
              </w:rPr>
              <w:t>реттеу және метрология комитетінің Төрағасы</w:t>
            </w:r>
          </w:p>
        </w:tc>
        <w:tc>
          <w:tcPr>
            <w:tcW w:w="4622" w:type="dxa"/>
          </w:tcPr>
          <w:p w14:paraId="55D5C079" w14:textId="77777777" w:rsidR="000F5B55" w:rsidRDefault="000F5B55" w:rsidP="008C25AD">
            <w:pPr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   </w:t>
            </w:r>
          </w:p>
          <w:p w14:paraId="0445D0EE" w14:textId="77777777" w:rsidR="000F5B55" w:rsidRDefault="000F5B55" w:rsidP="008C25AD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056CEE51" w14:textId="77777777" w:rsidR="000F5B55" w:rsidRDefault="000F5B55" w:rsidP="008C25AD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3EFF4137" w14:textId="77777777" w:rsidR="000F5B55" w:rsidRDefault="000F5B55" w:rsidP="008C25AD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61759FC3" w14:textId="77777777" w:rsidR="000F5B55" w:rsidRDefault="000F5B55" w:rsidP="008C25AD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787EF24C" w14:textId="77777777" w:rsidR="000F5B55" w:rsidRDefault="000F5B55" w:rsidP="008C25AD">
            <w:pPr>
              <w:jc w:val="right"/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"/>
              </w:rPr>
              <w:t>Қ. Елікбаев</w:t>
            </w:r>
          </w:p>
          <w:p w14:paraId="3922547B" w14:textId="77777777" w:rsidR="000F5B55" w:rsidRDefault="000F5B55" w:rsidP="008C25AD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0717DC4E" w14:textId="77777777" w:rsidR="006A67CF" w:rsidRDefault="006A67CF" w:rsidP="000F5B55">
      <w:pPr>
        <w:ind w:firstLine="567"/>
        <w:jc w:val="both"/>
      </w:pPr>
    </w:p>
    <w:sectPr w:rsidR="006A67CF" w:rsidSect="00D91167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16.11.2023 20:08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71518B6" w14:textId="77777777" w:rsidR="00C06A6B" w:rsidRDefault="00C06A6B" w:rsidP="00FC30DD">
      <w:r>
        <w:separator/>
      </w:r>
    </w:p>
  </w:endnote>
  <w:endnote w:type="continuationSeparator" w:id="0">
    <w:p w14:paraId="145F4971" w14:textId="77777777" w:rsidR="00C06A6B" w:rsidRDefault="00C06A6B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17.11.2023 15:15.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17.11.2023 15:15.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5A3EA72" w14:textId="77777777" w:rsidR="00C06A6B" w:rsidRDefault="00C06A6B" w:rsidP="00FC30DD">
      <w:r>
        <w:separator/>
      </w:r>
    </w:p>
  </w:footnote>
  <w:footnote w:type="continuationSeparator" w:id="0">
    <w:p w14:paraId="507D1E69" w14:textId="77777777" w:rsidR="00C06A6B" w:rsidRDefault="00C06A6B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3FC16A7"/>
    <w:multiLevelType w:val="hybridMultilevel"/>
    <w:tmpl w:val="640C98D2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1"/>
  </w:num>
  <w:num w:numId="4">
    <w:abstractNumId w:val="5"/>
  </w:num>
  <w:num w:numId="5">
    <w:abstractNumId w:val="8"/>
  </w:num>
  <w:num w:numId="6">
    <w:abstractNumId w:val="6"/>
  </w:num>
  <w:num w:numId="7">
    <w:abstractNumId w:val="9"/>
  </w:num>
  <w:num w:numId="8">
    <w:abstractNumId w:val="4"/>
  </w:num>
  <w:num w:numId="9">
    <w:abstractNumId w:val="2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72F72"/>
    <w:rsid w:val="000F5B55"/>
    <w:rsid w:val="001F324D"/>
    <w:rsid w:val="00257BF9"/>
    <w:rsid w:val="002C47AF"/>
    <w:rsid w:val="0030611D"/>
    <w:rsid w:val="0032546A"/>
    <w:rsid w:val="003B2E85"/>
    <w:rsid w:val="003D1DA4"/>
    <w:rsid w:val="0048275D"/>
    <w:rsid w:val="004E216F"/>
    <w:rsid w:val="00537792"/>
    <w:rsid w:val="006661B9"/>
    <w:rsid w:val="00680312"/>
    <w:rsid w:val="006A67CF"/>
    <w:rsid w:val="00703076"/>
    <w:rsid w:val="00764402"/>
    <w:rsid w:val="007C15A1"/>
    <w:rsid w:val="0084586E"/>
    <w:rsid w:val="00864097"/>
    <w:rsid w:val="008C53CC"/>
    <w:rsid w:val="009277CA"/>
    <w:rsid w:val="009827C1"/>
    <w:rsid w:val="0098493E"/>
    <w:rsid w:val="009860B7"/>
    <w:rsid w:val="00994AF1"/>
    <w:rsid w:val="009C55B9"/>
    <w:rsid w:val="00A33CE4"/>
    <w:rsid w:val="00A72EB8"/>
    <w:rsid w:val="00AD3790"/>
    <w:rsid w:val="00AE43BF"/>
    <w:rsid w:val="00B1021A"/>
    <w:rsid w:val="00BD7E45"/>
    <w:rsid w:val="00BF19A4"/>
    <w:rsid w:val="00C06A6B"/>
    <w:rsid w:val="00C56B0F"/>
    <w:rsid w:val="00C668B4"/>
    <w:rsid w:val="00CA45D0"/>
    <w:rsid w:val="00D8050E"/>
    <w:rsid w:val="00D91167"/>
    <w:rsid w:val="00DC1144"/>
    <w:rsid w:val="00DC5E44"/>
    <w:rsid w:val="00DE7088"/>
    <w:rsid w:val="00E312E0"/>
    <w:rsid w:val="00E62068"/>
    <w:rsid w:val="00E8219B"/>
    <w:rsid w:val="00EE256F"/>
    <w:rsid w:val="00EE6684"/>
    <w:rsid w:val="00FB03C8"/>
    <w:rsid w:val="00FC3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75" Type="http://schemas.openxmlformats.org/officeDocument/2006/relationships/image" Target="media/image975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</TotalTime>
  <Pages>6</Pages>
  <Words>1775</Words>
  <Characters>10121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28</cp:revision>
  <dcterms:created xsi:type="dcterms:W3CDTF">2023-11-14T05:21:00Z</dcterms:created>
  <dcterms:modified xsi:type="dcterms:W3CDTF">2023-11-16T11:24:00Z</dcterms:modified>
</cp:coreProperties>
</file>